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pict>
          <v:shape id="_x0000_s1026" o:spid="_x0000_s1026" o:spt="136" type="#_x0000_t136" style="position:absolute;left:0pt;margin-left:-18pt;margin-top:46.8pt;height:65.45pt;width:450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临沂市安全生产监督管理局文件" style="font-family:文星标宋;font-size:36pt;v-text-align:center;v-text-spacing:78650f;"/>
            <w10:wrap type="square"/>
          </v:shape>
        </w:pic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eastAsia="仿宋_GB2312"/>
          <w:color w:val="000000"/>
          <w:kern w:val="0"/>
          <w:sz w:val="44"/>
          <w:szCs w:val="44"/>
        </w:rPr>
      </w:pPr>
      <w:r>
        <w:rPr>
          <w:rFonts w:eastAsia="仿宋_GB2312"/>
          <w:sz w:val="32"/>
          <w:szCs w:val="32"/>
        </w:rPr>
        <w:t>临安监发</w:t>
      </w:r>
      <w:bookmarkStart w:id="0" w:name="_GoBack"/>
      <w:r>
        <w:rPr>
          <w:rFonts w:eastAsia="仿宋_GB2312"/>
          <w:sz w:val="32"/>
          <w:szCs w:val="32"/>
        </w:rPr>
        <w:t>〔2016〕48</w:t>
      </w:r>
      <w:bookmarkEnd w:id="0"/>
      <w:r>
        <w:rPr>
          <w:rFonts w:eastAsia="仿宋_GB2312"/>
          <w:sz w:val="32"/>
          <w:szCs w:val="32"/>
        </w:rPr>
        <w:t>号</w:t>
      </w:r>
    </w:p>
    <w:p>
      <w:pPr>
        <w:spacing w:line="570" w:lineRule="exact"/>
        <w:rPr>
          <w:rFonts w:eastAsia="黑体"/>
          <w:bCs/>
          <w:sz w:val="36"/>
          <w:szCs w:val="36"/>
        </w:rPr>
      </w:pPr>
      <w:r>
        <w:rPr>
          <w:rFonts w:eastAsia="仿宋_GB2312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212725</wp:posOffset>
                </wp:positionV>
                <wp:extent cx="5943600" cy="0"/>
                <wp:effectExtent l="0" t="10160" r="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032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16.75pt;height:0pt;width:468pt;z-index:251660288;mso-width-relative:page;mso-height-relative:page;" filled="f" stroked="t" coordsize="21600,21600" o:gfxdata="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1vRgu1wAAAAkBAAAPAAAAAAAAAAEAIAAAACIAAABkcnMvZG93bnJldi54bWxQSwEC&#10;FAAUAAAACACHTuJA0wIlCvUBAADlAwAADgAAAAAAAAABACAAAAAmAQAAZHJzL2Uyb0RvYy54bWxQ&#10;SwUGAAAAAAYABgBZAQAAjQUAAAAA&#10;">
                <v:path arrowok="t"/>
                <v:fill on="f" focussize="0,0"/>
                <v:stroke weight="1.6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hd w:val="clear" w:color="auto" w:fill="FFFFFF"/>
        <w:spacing w:line="570" w:lineRule="exact"/>
        <w:jc w:val="center"/>
        <w:outlineLvl w:val="3"/>
        <w:rPr>
          <w:rFonts w:hint="eastAsia" w:eastAsia="方正小标宋简体"/>
          <w:bCs/>
          <w:sz w:val="44"/>
          <w:szCs w:val="44"/>
        </w:rPr>
      </w:pPr>
    </w:p>
    <w:p>
      <w:pPr>
        <w:shd w:val="clear" w:color="auto" w:fill="FFFFFF"/>
        <w:spacing w:line="570" w:lineRule="exact"/>
        <w:jc w:val="center"/>
        <w:outlineLvl w:val="3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临沂市安全生产监督管理局</w:t>
      </w:r>
    </w:p>
    <w:p>
      <w:pPr>
        <w:shd w:val="clear" w:color="auto" w:fill="FFFFFF"/>
        <w:spacing w:line="570" w:lineRule="exact"/>
        <w:jc w:val="center"/>
        <w:outlineLvl w:val="3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转发省安监局《关于开展非煤矿山汛期安全生产专项检查工作的通知》的通知</w:t>
      </w:r>
    </w:p>
    <w:p>
      <w:pPr>
        <w:shd w:val="clear" w:color="auto" w:fill="FFFFFF"/>
        <w:spacing w:line="570" w:lineRule="exact"/>
        <w:jc w:val="center"/>
        <w:outlineLvl w:val="3"/>
        <w:rPr>
          <w:rFonts w:eastAsia="文星标宋"/>
          <w:bCs/>
          <w:sz w:val="44"/>
          <w:szCs w:val="44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各相关县区安监局：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现将省安监局《关于开展非煤矿山汛期安全生产专项检查工作的通知》（鲁安监发〔2016〕50号）转发给你们，并提出以下要求，请一并抓好贯彻落实。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一、企业自查。</w:t>
      </w:r>
      <w:r>
        <w:rPr>
          <w:rFonts w:eastAsia="仿宋_GB2312"/>
          <w:sz w:val="32"/>
          <w:szCs w:val="32"/>
        </w:rPr>
        <w:t>所有地下开采矿山、露天开采矿山和尾矿库（正在运行的尾矿库和暂时停止运行的尾矿库），包含已停产尚未复工矿山企业均要按照文件要求全面开展自查，自查以防汛检查为主，同时结合临沂市人民政府办公室《关于印发临沂市非煤矿山企业复工验收方案的通知》（临政办字〔2016〕22号）文件精神重点排查，对排查发现隐患要及时消除。自查结束后形成自查报告，上报所在地县区安监局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二、县区安监部门检查。</w:t>
      </w:r>
      <w:r>
        <w:rPr>
          <w:rFonts w:eastAsia="仿宋_GB2312"/>
          <w:sz w:val="32"/>
          <w:szCs w:val="32"/>
        </w:rPr>
        <w:t>各相关县区安监局要按照属地监管原则，对照省安监局文件确定的重点内容，对辖区内所有非煤矿山企业逐项对照检查。要严格落实检查责任制，对检查发现的非法违法行为，从严从快依法查处，确保检查取得实效。期间，市安监局将进行重点抽查，确保工作落到实处。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三、信息汇总上报。</w:t>
      </w:r>
      <w:r>
        <w:rPr>
          <w:rFonts w:eastAsia="仿宋_GB2312"/>
          <w:sz w:val="32"/>
          <w:szCs w:val="32"/>
        </w:rPr>
        <w:t>检查结束后，各县区安监局要对汛期专项检查活动进行认真总结，对存在的问题和隐患分类进行统计，分析共性问题，查找问题原因，研究整改措施，确保非煤矿山企业安全度汛。各县（市、区）书面总结材料及检查文书复印件于6月15日前报市安监局矿山科。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>
      <w:pPr>
        <w:spacing w:line="570" w:lineRule="exact"/>
        <w:ind w:left="1118" w:leftChars="304" w:hanging="480" w:hanging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附：《关于开展非煤矿山汛期安全生产专项检查工作的通知》（鲁安监发〔2016〕50号）                           </w:t>
      </w:r>
    </w:p>
    <w:p>
      <w:pPr>
        <w:spacing w:line="570" w:lineRule="exact"/>
        <w:rPr>
          <w:rFonts w:eastAsia="仿宋_GB2312"/>
          <w:sz w:val="32"/>
          <w:szCs w:val="32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wordWrap w:val="0"/>
        <w:spacing w:line="570" w:lineRule="exact"/>
        <w:jc w:val="righ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临沂市安全生产监督管理局</w:t>
      </w:r>
    </w:p>
    <w:p>
      <w:pPr>
        <w:spacing w:line="570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2016年5月16日</w:t>
      </w:r>
    </w:p>
    <w:p>
      <w:pPr>
        <w:spacing w:line="570" w:lineRule="exact"/>
        <w:rPr>
          <w:rFonts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61E74E30"/>
    <w:rsid w:val="61E7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2022-11-16T01:57:00Z</dcterms:created>
  <dc:creator>Administrator</dc:creator>
  <cp:lastModifiedBy>Administrator</cp:lastModifiedBy>
  <dcterms:modified xsi:type="dcterms:W3CDTF">2022-11-16T01:58:48Z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7F0B46D6AC764E538CD7B04A4D73D474</vt:lpwstr>
  </property>
</Properties>
</file>