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 w:afterLines="100" w:line="560" w:lineRule="exact"/>
        <w:rPr>
          <w:rFonts w:ascii="黑体" w:hAnsi="黑体" w:eastAsia="黑体" w:cs="新宋体"/>
          <w:sz w:val="32"/>
          <w:szCs w:val="32"/>
        </w:rPr>
      </w:pPr>
      <w:r>
        <w:rPr>
          <w:rFonts w:ascii="黑体" w:hAnsi="黑体" w:eastAsia="黑体" w:cs="新宋体"/>
          <w:spacing w:val="-10"/>
          <w:sz w:val="32"/>
          <w:szCs w:val="32"/>
        </w:rPr>
        <w:t>附件5</w:t>
      </w:r>
    </w:p>
    <w:p>
      <w:pPr>
        <w:spacing w:after="240" w:afterLines="100" w:line="570" w:lineRule="exact"/>
        <w:jc w:val="center"/>
        <w:rPr>
          <w:rFonts w:hint="eastAsia" w:ascii="方正小标宋简体" w:hAnsi="新宋体" w:eastAsia="方正小标宋简体" w:cs="新宋体"/>
          <w:spacing w:val="-1"/>
          <w:sz w:val="40"/>
          <w:szCs w:val="44"/>
        </w:rPr>
      </w:pPr>
      <w:r>
        <w:rPr>
          <w:rFonts w:hint="eastAsia" w:ascii="方正小标宋简体" w:hAnsi="新宋体" w:eastAsia="方正小标宋简体" w:cs="新宋体"/>
          <w:spacing w:val="-1"/>
          <w:sz w:val="40"/>
          <w:szCs w:val="44"/>
        </w:rPr>
        <w:t>沂水县应急物资储备库建设任务表</w:t>
      </w:r>
    </w:p>
    <w:tbl>
      <w:tblPr>
        <w:tblStyle w:val="2"/>
        <w:tblpPr w:leftFromText="180" w:rightFromText="180" w:vertAnchor="text" w:horzAnchor="page" w:tblpXSpec="center" w:tblpY="31"/>
        <w:tblOverlap w:val="never"/>
        <w:tblW w:w="14572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066"/>
        <w:gridCol w:w="696"/>
        <w:gridCol w:w="1287"/>
        <w:gridCol w:w="3374"/>
        <w:gridCol w:w="960"/>
        <w:gridCol w:w="1409"/>
        <w:gridCol w:w="761"/>
        <w:gridCol w:w="3414"/>
        <w:gridCol w:w="11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序号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物资储备库名称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隶属单位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仓库地址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建设（储存）任务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完成时限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仓储面积（平方米）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责任单位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储存物资种类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估算投资（万元）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atLeast"/>
        </w:trPr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县防汛抗旱物资储备库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县水利局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沂水县久远水利水电建筑安装有限公司院内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防汛抗旱物资储备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12月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300平方米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县水利局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储备防汛抢险物资及抗旱资：编织袋、照明设备、挡水子堤、铅丝、桩木、钢管、救生衣（圈）、发电机组、排涝设备、铁锹、铁（钢）镐、大锤、打桩机、电缆、铅丝笼、土工布、土工膜、拖拉机头、救援绳、可移动防护围墙、切割机、油锯、吸水膨胀袋、卫星电话、防汛抢险工具包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储备库扩建、购置物资装备约需资金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300万元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县公安局应急装备仓库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县公安局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县公安局特巡警大队院内（香山路11号）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已建项目。按照市局标准，储备不低于150人/次拉动所需装备物资，采取实战应用与仓库储备相结合的应急物资储备方式，每年逐量增加。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2024年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12月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1.大院1000平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2.仓库80平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县公安局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储备公共安全类物资：装备车、现场指挥车、多旋翼无人机、航拍设备、移动智能照明平台、车载高音喇叭、大屏幕信息显示设备、应急电源、防暴盾牌、头盔、声波驱散器、帐篷、单发电机组等应对群体性事件需要的相关装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500万元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序号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物资储备库名称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隶属单位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仓库地址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建设（储存）任务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完成时限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仓储面积（平方米）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责任单位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储存物资种类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估算投资（万元）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3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县自然资源和规划局防火物资仓库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县自然资源和规划局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沂水县沂蒙山东路18号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已建项目。依托现有120平方米森林防灭火物资储备仓库，储备抢险与专业处置类物资，补充轮换更新设备。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12月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120平方米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县自然资源和规划局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储备防灭火应急物资：风力灭火机、油锯、割灌机、水泵、防火服、水囊、灭火水枪、照明工具等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150万元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县消防救援大队物资仓库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县消防救援大队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冯家庄消防救援站(珠江路);庐山消防救援站(化工园区)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已建项目。采取库队合一方式,储备队伍所需专业装备物资,满足各类城市火灾和自然灾害综合救援需求。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12月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30平方米、60平方米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县消防救援大队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储备综合类应急物资装备：照明设备、皮舟、冲锋舟、救生衣（圈）、发电机组、排涝设备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100万元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临沂市公路事业发展中心沂水中心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县公路中心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县公路中心应急物资库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已建项目。满足一般性公路抢险、一般性水毁、路面除雪防滑、塌方路段清淤。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12月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600平方米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县公路中心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储备应急装备机具、应急抢险材料、应急人身防护、应急检测管控等四大种类应急物资装备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192万元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沂水县综合应急物资仓库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县应管理急局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3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按照规划要求，建设一处仓储面积不低于2000平方米的综合应急物资储备库。县级生活保障类应急物资实物储备达到保障5000人紧急集中转移安置人口的需要。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6月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不少于2000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沂水县政府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储备生活救灾类等应急物资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2000万元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2ExNWUwZTY4YTU5NzE5ZWEwMDkwYmM3ODUwY2YifQ=="/>
  </w:docVars>
  <w:rsids>
    <w:rsidRoot w:val="282E342C"/>
    <w:rsid w:val="282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2022-10-21T09:13:00Z</dcterms:created>
  <dc:creator>admin</dc:creator>
  <cp:lastModifiedBy>admin</cp:lastModifiedBy>
  <dcterms:modified xsi:type="dcterms:W3CDTF">2022-10-21T09:14:06Z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B88F1C89529E4898B0994F104EC2FD19</vt:lpwstr>
  </property>
</Properties>
</file>