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_GB2312"/>
          <w:sz w:val="20"/>
        </w:rPr>
      </w:pPr>
    </w:p>
    <w:p>
      <w:pPr>
        <w:pStyle w:val="4"/>
        <w:spacing w:before="8"/>
        <w:rPr>
          <w:rFonts w:ascii="仿宋_GB2312"/>
          <w:sz w:val="16"/>
        </w:rPr>
      </w:pPr>
    </w:p>
    <w:p>
      <w:pPr>
        <w:pStyle w:val="2"/>
        <w:spacing w:before="37" w:line="563" w:lineRule="exact"/>
      </w:pPr>
      <w:r>
        <w:t>临沂市安全生产监督管理局</w:t>
      </w:r>
    </w:p>
    <w:p>
      <w:pPr>
        <w:spacing w:before="4" w:line="237" w:lineRule="auto"/>
        <w:ind w:left="996" w:right="1471" w:firstLine="0"/>
        <w:jc w:val="center"/>
        <w:rPr>
          <w:rFonts w:hint="eastAsia" w:ascii="黑体" w:hAnsi="黑体" w:eastAsia="黑体"/>
          <w:b/>
          <w:sz w:val="44"/>
        </w:rPr>
      </w:pPr>
      <w:r>
        <w:rPr>
          <w:rFonts w:hint="eastAsia" w:ascii="黑体" w:hAnsi="黑体" w:eastAsia="黑体"/>
          <w:b/>
          <w:w w:val="95"/>
          <w:sz w:val="44"/>
        </w:rPr>
        <w:t>转发省安监局关于寿光市新丰淀粉有限公司</w:t>
      </w:r>
      <w:r>
        <w:rPr>
          <w:rFonts w:hint="eastAsia" w:ascii="黑体" w:hAnsi="黑体" w:eastAsia="黑体"/>
          <w:b/>
          <w:sz w:val="44"/>
        </w:rPr>
        <w:t>“5.19”粉尘爆炸事故情况通报</w:t>
      </w:r>
    </w:p>
    <w:p>
      <w:pPr>
        <w:pStyle w:val="4"/>
        <w:spacing w:before="1"/>
        <w:rPr>
          <w:rFonts w:ascii="黑体"/>
          <w:b/>
          <w:sz w:val="60"/>
        </w:rPr>
      </w:pPr>
    </w:p>
    <w:p>
      <w:pPr>
        <w:pStyle w:val="4"/>
        <w:spacing w:before="1" w:line="340" w:lineRule="auto"/>
        <w:ind w:left="986" w:right="1471"/>
        <w:jc w:val="both"/>
      </w:pPr>
      <w:r>
        <w:rPr>
          <w:spacing w:val="-11"/>
        </w:rPr>
        <w:t>各县区安监局，临沂高新技术产业开发区安监局，临沂经济技术</w:t>
      </w:r>
      <w:r>
        <w:rPr>
          <w:spacing w:val="-15"/>
        </w:rPr>
        <w:t>开发区安监局，临沂临港经济开发区安监局，临沂蒙山旅游度假区安监局：</w:t>
      </w:r>
    </w:p>
    <w:p>
      <w:pPr>
        <w:pStyle w:val="4"/>
        <w:spacing w:line="389" w:lineRule="exact"/>
        <w:ind w:left="1646"/>
      </w:pPr>
      <w:r>
        <w:t>现将省安监局《关于寿光市新丰淀粉有限公司“5.19”粉尘</w:t>
      </w:r>
    </w:p>
    <w:p>
      <w:pPr>
        <w:pStyle w:val="4"/>
        <w:spacing w:before="149" w:line="326" w:lineRule="auto"/>
        <w:ind w:left="986" w:right="1471"/>
      </w:pPr>
      <w:r>
        <w:rPr>
          <w:spacing w:val="-8"/>
          <w:w w:val="95"/>
        </w:rPr>
        <w:t xml:space="preserve">爆炸事故情况的通报》转发给你们，并提出如下要求，请结合本 </w:t>
      </w:r>
      <w:r>
        <w:rPr>
          <w:spacing w:val="-8"/>
        </w:rPr>
        <w:t>地实际，一并抓好贯彻落实，防范粉尘爆炸事故发生。</w:t>
      </w:r>
    </w:p>
    <w:p>
      <w:pPr>
        <w:pStyle w:val="4"/>
        <w:spacing w:line="372" w:lineRule="auto"/>
        <w:ind w:left="986" w:right="1358" w:firstLine="645"/>
      </w:pPr>
      <w:r>
        <w:t>一、全面排查整改隐患。要结合正在开展的安全生产</w:t>
      </w:r>
      <w:r>
        <w:rPr>
          <w:color w:val="333333"/>
        </w:rPr>
        <w:t>百日攻坚治理行动</w:t>
      </w:r>
      <w:r>
        <w:t>，迅速组织本地区所有粉尘涉爆企业，特别是木粉、淀粉、面粉、饲料加工企业，认真吸取寿光市新丰淀粉有限公司“5.19”事故教训，举一反三，全面排查整改企业粉尘防爆工作中存在的各类问题和隐患。</w:t>
      </w:r>
    </w:p>
    <w:p>
      <w:pPr>
        <w:pStyle w:val="4"/>
        <w:spacing w:line="372" w:lineRule="auto"/>
        <w:ind w:left="986" w:right="1314" w:firstLine="645"/>
      </w:pPr>
      <w:r>
        <w:rPr>
          <w:spacing w:val="-11"/>
        </w:rPr>
        <w:t>二、认真落实企业安全生产主体责任。要督促企业按照《粉</w:t>
      </w:r>
      <w:r>
        <w:rPr>
          <w:spacing w:val="-17"/>
        </w:rPr>
        <w:t>尘防爆安全规程》</w:t>
      </w:r>
      <w:r>
        <w:t>(GB15577-2007</w:t>
      </w:r>
      <w:r>
        <w:rPr>
          <w:spacing w:val="-8"/>
        </w:rPr>
        <w:t>)和《铝镁粉加工粉尘防爆安全</w:t>
      </w:r>
      <w:r>
        <w:rPr>
          <w:spacing w:val="-51"/>
          <w:w w:val="95"/>
        </w:rPr>
        <w:t>规程》</w:t>
      </w:r>
      <w:r>
        <w:rPr>
          <w:w w:val="95"/>
        </w:rPr>
        <w:t>(GB17269-2003</w:t>
      </w:r>
      <w:r>
        <w:rPr>
          <w:spacing w:val="-13"/>
          <w:w w:val="95"/>
        </w:rPr>
        <w:t xml:space="preserve">)等规定，全面排查有无粉尘爆炸危险场所。 </w:t>
      </w:r>
      <w:r>
        <w:rPr>
          <w:spacing w:val="-17"/>
        </w:rPr>
        <w:t>凡是存在粉尘爆炸危险场所的，必须按照国家规程标准，配齐通</w:t>
      </w:r>
    </w:p>
    <w:p>
      <w:pPr>
        <w:spacing w:after="0" w:line="372" w:lineRule="auto"/>
        <w:sectPr>
          <w:footerReference r:id="rId5" w:type="default"/>
          <w:pgSz w:w="11910" w:h="16840"/>
          <w:pgMar w:top="1580" w:right="0" w:bottom="2120" w:left="600" w:header="0" w:footer="1929" w:gutter="0"/>
          <w:cols w:space="720" w:num="1"/>
        </w:sectPr>
      </w:pPr>
    </w:p>
    <w:p>
      <w:pPr>
        <w:pStyle w:val="4"/>
        <w:rPr>
          <w:sz w:val="20"/>
        </w:rPr>
      </w:pPr>
    </w:p>
    <w:p>
      <w:pPr>
        <w:pStyle w:val="4"/>
        <w:spacing w:before="9"/>
        <w:rPr>
          <w:sz w:val="23"/>
        </w:rPr>
      </w:pPr>
    </w:p>
    <w:p>
      <w:pPr>
        <w:pStyle w:val="4"/>
        <w:spacing w:before="55" w:line="372" w:lineRule="auto"/>
        <w:ind w:left="986" w:right="1358"/>
      </w:pPr>
      <w:r>
        <w:t>风、除尘、防火防爆设施和灭火器材，制定落实粉尘清扫制度， 并针对粉尘爆炸危险场所特点，采取有效措施。</w:t>
      </w:r>
    </w:p>
    <w:p>
      <w:pPr>
        <w:pStyle w:val="4"/>
        <w:spacing w:before="1" w:line="372" w:lineRule="auto"/>
        <w:ind w:left="986" w:right="1314" w:firstLine="645"/>
      </w:pPr>
      <w:r>
        <w:rPr>
          <w:spacing w:val="-11"/>
        </w:rPr>
        <w:t>三、加强教育培训。要加强对从业人员消防安全和粉尘防爆</w:t>
      </w:r>
      <w:r>
        <w:rPr>
          <w:spacing w:val="-14"/>
        </w:rPr>
        <w:t>教育培训，普及粉尘防爆知识和安全规程，提高安全防范和遇险</w:t>
      </w:r>
      <w:r>
        <w:rPr>
          <w:spacing w:val="-21"/>
        </w:rPr>
        <w:t>逃生能力。要制订完善粉尘爆炸事故的应急预案，加强培训演练， 确保遇有紧急情况响应快速、科学应对、措施得力。</w:t>
      </w:r>
    </w:p>
    <w:p>
      <w:pPr>
        <w:pStyle w:val="4"/>
        <w:spacing w:before="2" w:line="372" w:lineRule="auto"/>
        <w:ind w:left="986" w:right="1473" w:firstLine="645"/>
      </w:pPr>
      <w:r>
        <w:rPr>
          <w:spacing w:val="-11"/>
        </w:rPr>
        <w:t>附件：省安监局《关于寿光市新丰淀粉有限公司“</w:t>
      </w:r>
      <w:r>
        <w:rPr>
          <w:spacing w:val="-5"/>
        </w:rPr>
        <w:t>5.19</w:t>
      </w:r>
      <w:r>
        <w:rPr>
          <w:spacing w:val="-3"/>
        </w:rPr>
        <w:t>”粉尘爆炸事故情况的通报》</w:t>
      </w:r>
    </w:p>
    <w:p>
      <w:pPr>
        <w:pStyle w:val="4"/>
      </w:pPr>
    </w:p>
    <w:p>
      <w:pPr>
        <w:pStyle w:val="4"/>
        <w:spacing w:before="227"/>
        <w:ind w:right="1471"/>
        <w:jc w:val="right"/>
      </w:pPr>
      <w:r>
        <w:rPr>
          <w:w w:val="95"/>
        </w:rPr>
        <w:t>临沂市安全生产监督管理局</w:t>
      </w:r>
    </w:p>
    <w:p>
      <w:pPr>
        <w:pStyle w:val="4"/>
        <w:spacing w:before="226"/>
        <w:ind w:right="1473"/>
        <w:jc w:val="right"/>
      </w:pPr>
      <w:r>
        <w:t>2017</w:t>
      </w:r>
      <w:r>
        <w:rPr>
          <w:spacing w:val="-54"/>
        </w:rPr>
        <w:t xml:space="preserve"> 年 </w:t>
      </w:r>
      <w:r>
        <w:t>6</w:t>
      </w:r>
      <w:r>
        <w:rPr>
          <w:spacing w:val="-54"/>
        </w:rPr>
        <w:t xml:space="preserve"> 月 </w:t>
      </w:r>
      <w:r>
        <w:t>21</w:t>
      </w:r>
      <w:r>
        <w:rPr>
          <w:spacing w:val="-42"/>
        </w:rPr>
        <w:t xml:space="preserve"> 日</w:t>
      </w:r>
    </w:p>
    <w:p>
      <w:pPr>
        <w:spacing w:after="0"/>
        <w:jc w:val="right"/>
        <w:sectPr>
          <w:pgSz w:w="11910" w:h="16840"/>
          <w:pgMar w:top="1580" w:right="0" w:bottom="2120" w:left="600" w:header="0" w:footer="1929" w:gutter="0"/>
          <w:cols w:space="720" w:num="1"/>
        </w:sectPr>
      </w:pPr>
    </w:p>
    <w:p>
      <w:pPr>
        <w:pStyle w:val="2"/>
        <w:spacing w:before="218" w:line="237" w:lineRule="auto"/>
        <w:ind w:left="238" w:leftChars="0" w:firstLine="760" w:firstLineChars="181"/>
      </w:pPr>
      <w:r>
        <w:rPr>
          <w:w w:val="95"/>
        </w:rPr>
        <w:t xml:space="preserve">关于寿光市新丰淀粉有限公司“5.19”粉尘爆 </w:t>
      </w:r>
      <w:r>
        <w:t>炸事故情况的通报</w:t>
      </w:r>
    </w:p>
    <w:p>
      <w:pPr>
        <w:spacing w:before="120"/>
        <w:ind w:left="986" w:right="1471" w:firstLine="0"/>
        <w:jc w:val="center"/>
        <w:rPr>
          <w:rFonts w:hint="eastAsia" w:ascii="楷体" w:eastAsia="楷体"/>
          <w:b/>
          <w:sz w:val="32"/>
        </w:rPr>
      </w:pPr>
      <w:r>
        <w:rPr>
          <w:rFonts w:hint="eastAsia" w:ascii="楷体" w:eastAsia="楷体"/>
          <w:b/>
          <w:sz w:val="32"/>
        </w:rPr>
        <w:t>鲁安监发〔2017〕67 号</w:t>
      </w:r>
    </w:p>
    <w:p>
      <w:pPr>
        <w:pStyle w:val="4"/>
        <w:spacing w:before="149"/>
        <w:ind w:left="986"/>
      </w:pPr>
      <w:r>
        <w:rPr>
          <w:color w:val="333333"/>
        </w:rPr>
        <w:t>各市安监局：</w:t>
      </w:r>
    </w:p>
    <w:p>
      <w:pPr>
        <w:pStyle w:val="4"/>
        <w:spacing w:before="152"/>
        <w:ind w:left="1946"/>
        <w:jc w:val="both"/>
      </w:pPr>
      <w:r>
        <w:rPr>
          <w:color w:val="333333"/>
        </w:rPr>
        <w:t>2017</w:t>
      </w:r>
      <w:r>
        <w:rPr>
          <w:color w:val="333333"/>
          <w:spacing w:val="-54"/>
        </w:rPr>
        <w:t xml:space="preserve"> 年 </w:t>
      </w:r>
      <w:r>
        <w:rPr>
          <w:color w:val="333333"/>
        </w:rPr>
        <w:t>5</w:t>
      </w:r>
      <w:r>
        <w:rPr>
          <w:color w:val="333333"/>
          <w:spacing w:val="-54"/>
        </w:rPr>
        <w:t xml:space="preserve"> 月 </w:t>
      </w:r>
      <w:r>
        <w:rPr>
          <w:color w:val="333333"/>
        </w:rPr>
        <w:t>19</w:t>
      </w:r>
      <w:r>
        <w:rPr>
          <w:color w:val="333333"/>
          <w:spacing w:val="-55"/>
        </w:rPr>
        <w:t xml:space="preserve"> 日 </w:t>
      </w:r>
      <w:r>
        <w:rPr>
          <w:color w:val="333333"/>
        </w:rPr>
        <w:t>16</w:t>
      </w:r>
      <w:r>
        <w:rPr>
          <w:color w:val="333333"/>
          <w:spacing w:val="-55"/>
        </w:rPr>
        <w:t xml:space="preserve"> 时 </w:t>
      </w:r>
      <w:r>
        <w:rPr>
          <w:color w:val="333333"/>
        </w:rPr>
        <w:t>25</w:t>
      </w:r>
      <w:r>
        <w:rPr>
          <w:color w:val="333333"/>
          <w:spacing w:val="-12"/>
        </w:rPr>
        <w:t xml:space="preserve"> 分，位于潍坊市寿光市古城街</w:t>
      </w:r>
    </w:p>
    <w:p>
      <w:pPr>
        <w:pStyle w:val="4"/>
        <w:spacing w:before="149" w:line="328" w:lineRule="auto"/>
        <w:ind w:left="986" w:right="1471"/>
        <w:jc w:val="both"/>
      </w:pPr>
      <w:r>
        <w:rPr>
          <w:color w:val="333333"/>
          <w:spacing w:val="-6"/>
        </w:rPr>
        <w:t xml:space="preserve">道办事处的寿光市新丰淀粉有限公司发生粉尘爆炸事故，造成 </w:t>
      </w:r>
      <w:r>
        <w:rPr>
          <w:color w:val="333333"/>
        </w:rPr>
        <w:t xml:space="preserve">1 </w:t>
      </w:r>
      <w:r>
        <w:rPr>
          <w:color w:val="333333"/>
          <w:spacing w:val="-3"/>
        </w:rPr>
        <w:t>人死亡、</w:t>
      </w:r>
      <w:r>
        <w:rPr>
          <w:color w:val="333333"/>
        </w:rPr>
        <w:t>6</w:t>
      </w:r>
      <w:r>
        <w:rPr>
          <w:color w:val="333333"/>
          <w:spacing w:val="-11"/>
        </w:rPr>
        <w:t xml:space="preserve"> 人受伤。事故发生后，国家安全监管总局专门派出专</w:t>
      </w:r>
      <w:r>
        <w:rPr>
          <w:color w:val="333333"/>
          <w:spacing w:val="-15"/>
        </w:rPr>
        <w:t>家赶赴事故现场，督促指导事故调查工作。省安监局组织专家赴</w:t>
      </w:r>
      <w:r>
        <w:rPr>
          <w:color w:val="333333"/>
          <w:spacing w:val="-18"/>
        </w:rPr>
        <w:t>现场了解事故发生经过，分析事故原因，研究制定相应的工作措</w:t>
      </w:r>
      <w:r>
        <w:rPr>
          <w:color w:val="333333"/>
          <w:spacing w:val="-13"/>
        </w:rPr>
        <w:t>施。为深刻吸取事故教训，深入推进粉尘防爆专项治理工作，坚决遏制粉尘爆炸事故发生，现将有关情况通报如下：</w:t>
      </w:r>
    </w:p>
    <w:p>
      <w:pPr>
        <w:pStyle w:val="4"/>
        <w:spacing w:line="400" w:lineRule="exact"/>
        <w:ind w:left="1627"/>
        <w:rPr>
          <w:rFonts w:hint="eastAsia" w:ascii="黑体" w:eastAsia="黑体"/>
        </w:rPr>
      </w:pPr>
      <w:r>
        <w:rPr>
          <w:rFonts w:hint="eastAsia" w:ascii="黑体" w:eastAsia="黑体"/>
          <w:color w:val="333333"/>
        </w:rPr>
        <w:t>一、事故基本情况</w:t>
      </w:r>
    </w:p>
    <w:p>
      <w:pPr>
        <w:pStyle w:val="4"/>
        <w:spacing w:before="149"/>
        <w:ind w:left="1627"/>
      </w:pPr>
      <w:r>
        <w:rPr>
          <w:color w:val="333333"/>
          <w:spacing w:val="3"/>
        </w:rPr>
        <w:t>寿光市新丰淀粉有限公司成立于</w:t>
      </w:r>
      <w:r>
        <w:rPr>
          <w:color w:val="333333"/>
        </w:rPr>
        <w:t>2006</w:t>
      </w:r>
      <w:r>
        <w:rPr>
          <w:color w:val="333333"/>
          <w:spacing w:val="-43"/>
        </w:rPr>
        <w:t xml:space="preserve"> 年</w:t>
      </w:r>
      <w:r>
        <w:rPr>
          <w:color w:val="333333"/>
        </w:rPr>
        <w:t>5</w:t>
      </w:r>
      <w:r>
        <w:rPr>
          <w:color w:val="333333"/>
          <w:spacing w:val="-37"/>
        </w:rPr>
        <w:t xml:space="preserve"> 月，注册资本</w:t>
      </w:r>
      <w:r>
        <w:rPr>
          <w:color w:val="333333"/>
        </w:rPr>
        <w:t>2818</w:t>
      </w:r>
    </w:p>
    <w:p>
      <w:pPr>
        <w:pStyle w:val="4"/>
        <w:spacing w:before="152" w:line="328" w:lineRule="auto"/>
        <w:ind w:left="986" w:right="1314"/>
      </w:pPr>
      <w:r>
        <w:rPr>
          <w:color w:val="333333"/>
          <w:spacing w:val="-24"/>
        </w:rPr>
        <w:t xml:space="preserve">万元，现有员工 </w:t>
      </w:r>
      <w:r>
        <w:rPr>
          <w:color w:val="333333"/>
        </w:rPr>
        <w:t>165</w:t>
      </w:r>
      <w:r>
        <w:rPr>
          <w:color w:val="333333"/>
          <w:spacing w:val="-18"/>
        </w:rPr>
        <w:t xml:space="preserve"> 人，主要产品为玉米淀粉，副产品为淀粉乳、</w:t>
      </w:r>
      <w:r>
        <w:rPr>
          <w:color w:val="333333"/>
          <w:spacing w:val="-15"/>
        </w:rPr>
        <w:t>玉米胚芽、玉米纤维、加浆纤维、玉米蛋白等，淀粉生产能力为15</w:t>
      </w:r>
      <w:r>
        <w:rPr>
          <w:color w:val="333333"/>
          <w:spacing w:val="-29"/>
        </w:rPr>
        <w:t xml:space="preserve"> 万吨</w:t>
      </w:r>
      <w:r>
        <w:rPr>
          <w:color w:val="333333"/>
        </w:rPr>
        <w:t>/</w:t>
      </w:r>
      <w:r>
        <w:rPr>
          <w:color w:val="333333"/>
          <w:spacing w:val="-6"/>
        </w:rPr>
        <w:t>年。涉及粉尘爆炸部分的工艺流程为：玉米原粮进入卸粮坑经刮板机进入清选斗提机，通过滚筒筛和钟鼎分离器除杂、</w:t>
      </w:r>
      <w:r>
        <w:rPr>
          <w:color w:val="333333"/>
          <w:spacing w:val="-13"/>
        </w:rPr>
        <w:t>除铁器除铁后，经入仓斗提机进入粮仓；仓内的玉米经插板阀进</w:t>
      </w:r>
      <w:r>
        <w:rPr>
          <w:color w:val="333333"/>
          <w:spacing w:val="-16"/>
        </w:rPr>
        <w:t>入仓底出仓刮板机，后经出仓斗提机提升，然后去淀粉加工工艺</w:t>
      </w:r>
      <w:bookmarkStart w:id="0" w:name="_GoBack"/>
      <w:bookmarkEnd w:id="0"/>
      <w:r>
        <w:rPr>
          <w:rFonts w:ascii="仿宋" w:hAnsi="仿宋" w:eastAsia="仿宋" w:cs="仿宋"/>
          <w:color w:val="333333"/>
          <w:spacing w:val="-54"/>
          <w:sz w:val="32"/>
          <w:szCs w:val="32"/>
          <w:lang w:val="zh-CN" w:eastAsia="zh-CN" w:bidi="zh-CN"/>
        </w:rPr>
        <w:t>（湿法）。滚筒筛与钟鼎分离器分别配备 1 套除尘系统，均为二级除尘（旋风+布袋）。</w:t>
      </w:r>
    </w:p>
    <w:p>
      <w:pPr>
        <w:pStyle w:val="4"/>
        <w:spacing w:before="4" w:line="328" w:lineRule="auto"/>
        <w:ind w:left="986" w:right="1314" w:firstLine="640"/>
      </w:pPr>
      <w:r>
        <w:rPr>
          <w:color w:val="333333"/>
        </w:rPr>
        <w:t>2017</w:t>
      </w:r>
      <w:r>
        <w:rPr>
          <w:color w:val="333333"/>
          <w:spacing w:val="-54"/>
        </w:rPr>
        <w:t xml:space="preserve"> 年 </w:t>
      </w:r>
      <w:r>
        <w:rPr>
          <w:color w:val="333333"/>
        </w:rPr>
        <w:t>5</w:t>
      </w:r>
      <w:r>
        <w:rPr>
          <w:color w:val="333333"/>
          <w:spacing w:val="-55"/>
        </w:rPr>
        <w:t xml:space="preserve"> 月 </w:t>
      </w:r>
      <w:r>
        <w:rPr>
          <w:color w:val="333333"/>
        </w:rPr>
        <w:t>19</w:t>
      </w:r>
      <w:r>
        <w:rPr>
          <w:color w:val="333333"/>
          <w:spacing w:val="-54"/>
        </w:rPr>
        <w:t xml:space="preserve"> 日 </w:t>
      </w:r>
      <w:r>
        <w:rPr>
          <w:color w:val="333333"/>
        </w:rPr>
        <w:t>15</w:t>
      </w:r>
      <w:r>
        <w:rPr>
          <w:color w:val="333333"/>
          <w:spacing w:val="-55"/>
        </w:rPr>
        <w:t xml:space="preserve"> 时 </w:t>
      </w:r>
      <w:r>
        <w:rPr>
          <w:color w:val="333333"/>
        </w:rPr>
        <w:t>10</w:t>
      </w:r>
      <w:r>
        <w:rPr>
          <w:color w:val="333333"/>
          <w:spacing w:val="-29"/>
        </w:rPr>
        <w:t xml:space="preserve"> 分，该公司 </w:t>
      </w:r>
      <w:r>
        <w:rPr>
          <w:color w:val="333333"/>
        </w:rPr>
        <w:t>1</w:t>
      </w:r>
      <w:r>
        <w:rPr>
          <w:color w:val="333333"/>
          <w:spacing w:val="-11"/>
        </w:rPr>
        <w:t xml:space="preserve"> 名电焊工对出仓斗</w:t>
      </w:r>
      <w:r>
        <w:rPr>
          <w:color w:val="333333"/>
          <w:spacing w:val="6"/>
        </w:rPr>
        <w:t>提机机头弧形顶盖法兰与出口溜管下方结合部位的漏点进行打补丁焊接，15</w:t>
      </w:r>
      <w:r>
        <w:rPr>
          <w:color w:val="333333"/>
          <w:spacing w:val="-52"/>
        </w:rPr>
        <w:t xml:space="preserve"> 时 </w:t>
      </w:r>
      <w:r>
        <w:rPr>
          <w:color w:val="333333"/>
        </w:rPr>
        <w:t>50</w:t>
      </w:r>
      <w:r>
        <w:rPr>
          <w:color w:val="333333"/>
          <w:spacing w:val="-12"/>
        </w:rPr>
        <w:t xml:space="preserve"> 分焊接完成。</w:t>
      </w:r>
      <w:r>
        <w:rPr>
          <w:color w:val="333333"/>
        </w:rPr>
        <w:t>16</w:t>
      </w:r>
      <w:r>
        <w:rPr>
          <w:color w:val="333333"/>
          <w:spacing w:val="-51"/>
        </w:rPr>
        <w:t xml:space="preserve"> 时 </w:t>
      </w:r>
      <w:r>
        <w:rPr>
          <w:color w:val="333333"/>
        </w:rPr>
        <w:t>25</w:t>
      </w:r>
      <w:r>
        <w:rPr>
          <w:color w:val="333333"/>
          <w:spacing w:val="-9"/>
        </w:rPr>
        <w:t xml:space="preserve"> 分，操作工向清理现</w:t>
      </w:r>
      <w:r>
        <w:rPr>
          <w:color w:val="333333"/>
          <w:spacing w:val="-22"/>
          <w:w w:val="95"/>
        </w:rPr>
        <w:t xml:space="preserve">场的保全工确认可以开机后，先后开启出仓斗提机、仓底刮板机， </w:t>
      </w:r>
      <w:r>
        <w:rPr>
          <w:color w:val="333333"/>
          <w:spacing w:val="-19"/>
        </w:rPr>
        <w:t>刮板机尚未开始运行，出仓斗提机内发生爆炸。爆炸由出仓斗提</w:t>
      </w:r>
      <w:r>
        <w:rPr>
          <w:color w:val="333333"/>
          <w:spacing w:val="-22"/>
        </w:rPr>
        <w:t>机经仓底刮板机头部下料管进入刮板机传播，一直传播到刮板机</w:t>
      </w:r>
      <w:r>
        <w:rPr>
          <w:color w:val="333333"/>
          <w:spacing w:val="-24"/>
        </w:rPr>
        <w:t>尾部冲开刮板机尾部检查孔</w:t>
      </w:r>
      <w:r>
        <w:rPr>
          <w:color w:val="333333"/>
        </w:rPr>
        <w:t>（尚未上螺栓</w:t>
      </w:r>
      <w:r>
        <w:rPr>
          <w:color w:val="333333"/>
          <w:spacing w:val="-39"/>
        </w:rPr>
        <w:t>），</w:t>
      </w:r>
      <w:r>
        <w:rPr>
          <w:color w:val="333333"/>
        </w:rPr>
        <w:t>在刮板机廊道尽头</w:t>
      </w:r>
      <w:r>
        <w:rPr>
          <w:color w:val="333333"/>
          <w:spacing w:val="-11"/>
        </w:rPr>
        <w:t>发生二次爆炸。爆炸将进仓斗提机底部局部破坏，传播到进仓斗</w:t>
      </w:r>
      <w:r>
        <w:rPr>
          <w:color w:val="333333"/>
          <w:spacing w:val="-14"/>
        </w:rPr>
        <w:t>提机内部，并通过钟鼎分离器、滚筒筛传播到清选斗提机，清选</w:t>
      </w:r>
      <w:r>
        <w:rPr>
          <w:color w:val="333333"/>
          <w:spacing w:val="-19"/>
        </w:rPr>
        <w:t xml:space="preserve">斗提机被爆炸撕开，除尘楼内的 </w:t>
      </w:r>
      <w:r>
        <w:rPr>
          <w:color w:val="333333"/>
        </w:rPr>
        <w:t>1</w:t>
      </w:r>
      <w:r>
        <w:rPr>
          <w:color w:val="333333"/>
          <w:spacing w:val="-42"/>
        </w:rPr>
        <w:t xml:space="preserve"> 楼与 </w:t>
      </w:r>
      <w:r>
        <w:rPr>
          <w:color w:val="333333"/>
        </w:rPr>
        <w:t>2</w:t>
      </w:r>
      <w:r>
        <w:rPr>
          <w:color w:val="333333"/>
          <w:spacing w:val="-24"/>
        </w:rPr>
        <w:t xml:space="preserve"> 楼发生爆炸</w:t>
      </w:r>
      <w:r>
        <w:rPr>
          <w:color w:val="333333"/>
        </w:rPr>
        <w:t xml:space="preserve">（爆炸传播轨迹示意简图附后）。初始爆炸造成出仓斗提机底部箱体损毁， </w:t>
      </w:r>
      <w:r>
        <w:rPr>
          <w:color w:val="333333"/>
          <w:spacing w:val="-1"/>
        </w:rPr>
        <w:t>钢结构楼梯部分损毁，</w:t>
      </w:r>
      <w:r>
        <w:rPr>
          <w:color w:val="333333"/>
          <w:spacing w:val="-9"/>
        </w:rPr>
        <w:t>7</w:t>
      </w:r>
      <w:r>
        <w:rPr>
          <w:color w:val="333333"/>
          <w:spacing w:val="-16"/>
        </w:rPr>
        <w:t xml:space="preserve"> 名现场维修人员受伤，其中 </w:t>
      </w:r>
      <w:r>
        <w:rPr>
          <w:color w:val="333333"/>
        </w:rPr>
        <w:t>1</w:t>
      </w:r>
      <w:r>
        <w:rPr>
          <w:color w:val="333333"/>
          <w:spacing w:val="-17"/>
        </w:rPr>
        <w:t xml:space="preserve"> 人经医院抢救无效死亡。后续爆炸造成除尘楼建筑墙体、天花板等严重损</w:t>
      </w:r>
      <w:r>
        <w:rPr>
          <w:color w:val="333333"/>
          <w:spacing w:val="-12"/>
        </w:rPr>
        <w:t>毁，清选和入仓斗提机箱体变形、撕开，连接钟鼎分离器、滚筒</w:t>
      </w:r>
      <w:r>
        <w:rPr>
          <w:color w:val="333333"/>
          <w:spacing w:val="-15"/>
        </w:rPr>
        <w:t>筛的袋式除尘器损毁，其余设备设施不同程度受损。由于停产检修，除尘楼内无作业人员，幸未造成更大人员伤亡。</w:t>
      </w:r>
    </w:p>
    <w:p>
      <w:pPr>
        <w:pStyle w:val="4"/>
        <w:spacing w:line="384" w:lineRule="exact"/>
        <w:ind w:left="1627"/>
      </w:pPr>
      <w:r>
        <w:rPr>
          <w:color w:val="333333"/>
          <w:spacing w:val="-11"/>
          <w:w w:val="95"/>
        </w:rPr>
        <w:t>据初步调查分析，事故发生的直接原因是：该企业电焊作业</w:t>
      </w:r>
    </w:p>
    <w:p>
      <w:pPr>
        <w:pStyle w:val="4"/>
        <w:spacing w:before="149" w:line="328" w:lineRule="auto"/>
        <w:ind w:left="986" w:right="1471"/>
        <w:jc w:val="both"/>
      </w:pPr>
      <w:r>
        <w:rPr>
          <w:color w:val="333333"/>
          <w:spacing w:val="-6"/>
        </w:rPr>
        <w:t>人员没有遵守爆炸危险场所动火作业相关规定，在提升机头部内</w:t>
      </w:r>
      <w:r>
        <w:rPr>
          <w:color w:val="333333"/>
          <w:spacing w:val="-13"/>
        </w:rPr>
        <w:t>壁粉尘没有清理的情况下进行电焊作业，产生的高温热传导引燃</w:t>
      </w:r>
      <w:r>
        <w:rPr>
          <w:color w:val="333333"/>
          <w:spacing w:val="-16"/>
          <w:w w:val="95"/>
        </w:rPr>
        <w:t>了斗提机内壁的粉尘层，粉尘层在动火作业完成后仍在阴燃，成</w:t>
      </w:r>
    </w:p>
    <w:p>
      <w:pPr>
        <w:spacing w:after="0" w:line="328" w:lineRule="auto"/>
        <w:jc w:val="both"/>
        <w:sectPr>
          <w:pgSz w:w="11910" w:h="16840"/>
          <w:pgMar w:top="1580" w:right="0" w:bottom="2120" w:left="600" w:header="0" w:footer="1929" w:gutter="0"/>
          <w:cols w:space="720" w:num="1"/>
        </w:sectPr>
      </w:pPr>
    </w:p>
    <w:p>
      <w:pPr>
        <w:pStyle w:val="4"/>
        <w:rPr>
          <w:sz w:val="20"/>
        </w:rPr>
      </w:pPr>
    </w:p>
    <w:p>
      <w:pPr>
        <w:pStyle w:val="4"/>
        <w:spacing w:before="11"/>
        <w:rPr>
          <w:sz w:val="24"/>
        </w:rPr>
      </w:pPr>
    </w:p>
    <w:p>
      <w:pPr>
        <w:pStyle w:val="4"/>
        <w:spacing w:before="54" w:line="328" w:lineRule="auto"/>
        <w:ind w:left="986" w:right="1358"/>
      </w:pPr>
      <w:r>
        <w:rPr>
          <w:color w:val="333333"/>
          <w:spacing w:val="-11"/>
        </w:rPr>
        <w:t>为粉尘爆炸的点火源。动火作业完成后未对斗提机内部进行安全检查、消除点火源，开启斗提机后，斗提机提升产生的粉尘云、</w:t>
      </w:r>
      <w:r>
        <w:rPr>
          <w:color w:val="333333"/>
          <w:spacing w:val="-16"/>
        </w:rPr>
        <w:t>或斗提机内壁粉尘层因燃烧掉落形成的局部粉尘云，遇阴燃的粉尘层发生斗提机内粉尘爆炸，经传播先后引起存在粉尘的设备、设施和建筑物内粉尘爆炸。</w:t>
      </w:r>
    </w:p>
    <w:p>
      <w:pPr>
        <w:pStyle w:val="4"/>
        <w:spacing w:line="400" w:lineRule="exact"/>
        <w:ind w:left="1788"/>
        <w:rPr>
          <w:rFonts w:hint="eastAsia" w:ascii="黑体" w:eastAsia="黑体"/>
        </w:rPr>
      </w:pPr>
      <w:r>
        <w:rPr>
          <w:rFonts w:hint="eastAsia" w:ascii="黑体" w:eastAsia="黑体"/>
          <w:color w:val="333333"/>
        </w:rPr>
        <w:t>二、事故暴露出的主要问题</w:t>
      </w:r>
    </w:p>
    <w:p>
      <w:pPr>
        <w:pStyle w:val="4"/>
        <w:spacing w:before="152" w:line="328" w:lineRule="auto"/>
        <w:ind w:left="986" w:right="1358" w:firstLine="612"/>
      </w:pPr>
      <w:r>
        <w:rPr>
          <w:color w:val="333333"/>
        </w:rPr>
        <w:t>（一</w:t>
      </w:r>
      <w:r>
        <w:rPr>
          <w:color w:val="333333"/>
          <w:spacing w:val="-27"/>
        </w:rPr>
        <w:t>）</w:t>
      </w:r>
      <w:r>
        <w:rPr>
          <w:color w:val="333333"/>
          <w:spacing w:val="-4"/>
        </w:rPr>
        <w:t>企业对动火作业安全管理不严格、不规范。未对涉及</w:t>
      </w:r>
      <w:r>
        <w:rPr>
          <w:color w:val="333333"/>
          <w:spacing w:val="-9"/>
        </w:rPr>
        <w:t>粉尘爆炸危险场所的动火作业风险进行全面辨识分析，也未采取</w:t>
      </w:r>
      <w:r>
        <w:rPr>
          <w:color w:val="333333"/>
          <w:spacing w:val="-14"/>
        </w:rPr>
        <w:t xml:space="preserve">相应的安全防范措施：凡在粉尘爆炸危险区域实施动火作业，可拆卸的设备、管道应一律拆下并搬运到安全区域进行动火作业； </w:t>
      </w:r>
      <w:r>
        <w:rPr>
          <w:color w:val="333333"/>
          <w:spacing w:val="-17"/>
        </w:rPr>
        <w:t>确需原位进行动火作业的，对于内壁能够洒水的工艺设备，洒水后方可动火，且在动火作业过程中保证工艺设备内没有干粉尘； 不能洒水的工艺设备，必须清理干净设备内的粉尘后方可动火； 动火后，应检查确保设备内无焊渣、阴燃等点火源。</w:t>
      </w:r>
    </w:p>
    <w:p>
      <w:pPr>
        <w:pStyle w:val="4"/>
        <w:spacing w:line="395" w:lineRule="exact"/>
        <w:ind w:left="1468"/>
      </w:pPr>
      <w:r>
        <w:rPr>
          <w:color w:val="333333"/>
        </w:rPr>
        <w:t>（二）斗提机没有配备除尘系统，内部粉尘清理不及时，粉</w:t>
      </w:r>
    </w:p>
    <w:p>
      <w:pPr>
        <w:pStyle w:val="4"/>
        <w:spacing w:before="152" w:line="326" w:lineRule="auto"/>
        <w:ind w:left="986" w:right="1358"/>
      </w:pPr>
      <w:r>
        <w:rPr>
          <w:color w:val="333333"/>
          <w:spacing w:val="-11"/>
        </w:rPr>
        <w:t>尘沉积严重。为降低斗提机内粉尘浓度，提升机出口处应设吸风口并接入除尘系统，还要经常对斗提机的内部与外部进行清理， 不能让粉尘过多、长时间沉积。</w:t>
      </w:r>
    </w:p>
    <w:p>
      <w:pPr>
        <w:pStyle w:val="4"/>
        <w:spacing w:before="7" w:line="326" w:lineRule="auto"/>
        <w:ind w:left="986" w:right="1473" w:firstLine="482"/>
        <w:jc w:val="both"/>
      </w:pPr>
      <w:r>
        <w:rPr>
          <w:color w:val="333333"/>
        </w:rPr>
        <w:t>（三）斗提机、钟鼎分离器、旋风分离器、袋式除尘器等未</w:t>
      </w:r>
      <w:r>
        <w:rPr>
          <w:color w:val="333333"/>
          <w:spacing w:val="-10"/>
        </w:rPr>
        <w:t>采取爆炸泄压设计，导致提升机底部发生较强爆炸，随后的爆炸传播较为猛烈。</w:t>
      </w:r>
    </w:p>
    <w:p>
      <w:pPr>
        <w:pStyle w:val="4"/>
        <w:spacing w:before="7"/>
        <w:ind w:left="1468"/>
      </w:pPr>
      <w:r>
        <w:rPr>
          <w:color w:val="333333"/>
        </w:rPr>
        <w:t>（四）除尘楼泄压面积不足，导致除尘楼建筑严重受损。按</w:t>
      </w:r>
    </w:p>
    <w:p>
      <w:pPr>
        <w:spacing w:after="0"/>
        <w:sectPr>
          <w:pgSz w:w="11910" w:h="16840"/>
          <w:pgMar w:top="1580" w:right="0" w:bottom="2120" w:left="600" w:header="0" w:footer="1929" w:gutter="0"/>
          <w:cols w:space="720" w:num="1"/>
        </w:sectPr>
      </w:pPr>
    </w:p>
    <w:p>
      <w:pPr>
        <w:pStyle w:val="4"/>
        <w:rPr>
          <w:sz w:val="20"/>
        </w:rPr>
      </w:pPr>
    </w:p>
    <w:p>
      <w:pPr>
        <w:pStyle w:val="4"/>
        <w:spacing w:before="11"/>
        <w:rPr>
          <w:sz w:val="24"/>
        </w:rPr>
      </w:pPr>
    </w:p>
    <w:p>
      <w:pPr>
        <w:pStyle w:val="4"/>
        <w:spacing w:before="54" w:line="328" w:lineRule="auto"/>
        <w:ind w:left="986" w:right="1314"/>
      </w:pPr>
      <w:r>
        <w:rPr>
          <w:color w:val="333333"/>
          <w:spacing w:val="-9"/>
        </w:rPr>
        <w:t>照《粮食加工、储运系统粉尘防爆安全规程》</w:t>
      </w:r>
      <w:r>
        <w:rPr>
          <w:color w:val="333333"/>
          <w:spacing w:val="-3"/>
        </w:rPr>
        <w:t>（GB17440）</w:t>
      </w:r>
      <w:r>
        <w:rPr>
          <w:color w:val="333333"/>
        </w:rPr>
        <w:t xml:space="preserve">规定， </w:t>
      </w:r>
      <w:r>
        <w:rPr>
          <w:color w:val="333333"/>
          <w:spacing w:val="-11"/>
        </w:rPr>
        <w:t xml:space="preserve">可燃性粉尘环境 </w:t>
      </w:r>
      <w:r>
        <w:rPr>
          <w:color w:val="333333"/>
        </w:rPr>
        <w:t>20</w:t>
      </w:r>
      <w:r>
        <w:rPr>
          <w:color w:val="333333"/>
          <w:spacing w:val="-31"/>
        </w:rPr>
        <w:t xml:space="preserve"> 区、</w:t>
      </w:r>
      <w:r>
        <w:rPr>
          <w:color w:val="333333"/>
        </w:rPr>
        <w:t>21</w:t>
      </w:r>
      <w:r>
        <w:rPr>
          <w:color w:val="333333"/>
          <w:spacing w:val="-12"/>
        </w:rPr>
        <w:t xml:space="preserve"> 区的建(构)筑物</w:t>
      </w:r>
      <w:r>
        <w:rPr>
          <w:color w:val="333333"/>
        </w:rPr>
        <w:t>（如除尘楼</w:t>
      </w:r>
      <w:r>
        <w:rPr>
          <w:color w:val="333333"/>
          <w:spacing w:val="-9"/>
        </w:rPr>
        <w:t>）</w:t>
      </w:r>
      <w:r>
        <w:rPr>
          <w:color w:val="333333"/>
          <w:spacing w:val="-4"/>
        </w:rPr>
        <w:t>，应设</w:t>
      </w:r>
      <w:r>
        <w:rPr>
          <w:color w:val="333333"/>
          <w:spacing w:val="-13"/>
        </w:rPr>
        <w:t>置必要的泄爆口，玻璃门、窗、轻质墙体和轻质屋盖可以作为泄瀑面积计算。</w:t>
      </w:r>
    </w:p>
    <w:p>
      <w:pPr>
        <w:pStyle w:val="4"/>
        <w:spacing w:line="326" w:lineRule="auto"/>
        <w:ind w:left="986" w:right="1473" w:firstLine="482"/>
      </w:pPr>
      <w:r>
        <w:rPr>
          <w:color w:val="333333"/>
        </w:rPr>
        <w:t>（五）斗式提升机、皮带机、刮板机等未采取跑偏监控、主动轴轴温监控等保护措施。</w:t>
      </w:r>
    </w:p>
    <w:p>
      <w:pPr>
        <w:pStyle w:val="4"/>
        <w:spacing w:line="326" w:lineRule="auto"/>
        <w:ind w:left="986" w:right="1473" w:firstLine="482"/>
      </w:pPr>
      <w:r>
        <w:rPr>
          <w:color w:val="333333"/>
        </w:rPr>
        <w:t>（六）滚筒筛的杂质出口溜管上未设置旋转下料阀，导致滚筒筛爆炸火焰与冲击波直通 1 楼车间作业区域。</w:t>
      </w:r>
    </w:p>
    <w:p>
      <w:pPr>
        <w:pStyle w:val="4"/>
        <w:spacing w:before="2"/>
        <w:ind w:left="1627"/>
        <w:rPr>
          <w:rFonts w:hint="eastAsia" w:ascii="黑体" w:eastAsia="黑体"/>
        </w:rPr>
      </w:pPr>
      <w:r>
        <w:rPr>
          <w:rFonts w:hint="eastAsia" w:ascii="黑体" w:eastAsia="黑体"/>
          <w:color w:val="333333"/>
        </w:rPr>
        <w:t>三、有关工作要求</w:t>
      </w:r>
    </w:p>
    <w:p>
      <w:pPr>
        <w:pStyle w:val="4"/>
        <w:spacing w:before="151" w:line="328" w:lineRule="auto"/>
        <w:ind w:left="986" w:right="1314" w:firstLine="616"/>
      </w:pPr>
      <w:r>
        <w:rPr>
          <w:color w:val="333333"/>
        </w:rPr>
        <w:t>（一</w:t>
      </w:r>
      <w:r>
        <w:rPr>
          <w:color w:val="333333"/>
          <w:spacing w:val="-22"/>
        </w:rPr>
        <w:t>）</w:t>
      </w:r>
      <w:r>
        <w:rPr>
          <w:color w:val="333333"/>
          <w:spacing w:val="-2"/>
        </w:rPr>
        <w:t>各市安监局要迅速组织辖区内各县</w:t>
      </w:r>
      <w:r>
        <w:rPr>
          <w:color w:val="333333"/>
        </w:rPr>
        <w:t>（</w:t>
      </w:r>
      <w:r>
        <w:rPr>
          <w:color w:val="333333"/>
          <w:spacing w:val="-8"/>
        </w:rPr>
        <w:t>市、区</w:t>
      </w:r>
      <w:r>
        <w:rPr>
          <w:color w:val="333333"/>
          <w:spacing w:val="-22"/>
        </w:rPr>
        <w:t>）</w:t>
      </w:r>
      <w:r>
        <w:rPr>
          <w:color w:val="333333"/>
        </w:rPr>
        <w:t>安监局</w:t>
      </w:r>
      <w:r>
        <w:rPr>
          <w:color w:val="333333"/>
          <w:spacing w:val="-7"/>
        </w:rPr>
        <w:t>和本地区所有粉尘涉爆企业，特别是淀粉、面粉、饲料加工等涉</w:t>
      </w:r>
      <w:r>
        <w:rPr>
          <w:color w:val="333333"/>
          <w:spacing w:val="-19"/>
          <w:w w:val="95"/>
        </w:rPr>
        <w:t>及粮食储存、加工的企业，对照寿光市新丰淀粉有限公司“</w:t>
      </w:r>
      <w:r>
        <w:rPr>
          <w:color w:val="333333"/>
          <w:w w:val="95"/>
        </w:rPr>
        <w:t xml:space="preserve">5.19” </w:t>
      </w:r>
      <w:r>
        <w:rPr>
          <w:color w:val="333333"/>
          <w:spacing w:val="-7"/>
        </w:rPr>
        <w:t>粉尘爆炸事故发生原因和暴露出的问题，全面排查整改企业存在</w:t>
      </w:r>
      <w:r>
        <w:rPr>
          <w:color w:val="333333"/>
          <w:spacing w:val="-14"/>
        </w:rPr>
        <w:t>的问题和隐患，并举一反三，及时整改消除企业粉尘防爆工作中存在的各类问题和隐患。</w:t>
      </w:r>
    </w:p>
    <w:p>
      <w:pPr>
        <w:pStyle w:val="4"/>
        <w:spacing w:line="328" w:lineRule="auto"/>
        <w:ind w:left="986" w:right="1471" w:firstLine="482"/>
        <w:jc w:val="both"/>
      </w:pPr>
      <w:r>
        <w:rPr>
          <w:color w:val="333333"/>
        </w:rPr>
        <w:t>（二）要指导督促相关企业参照工贸行业《较大危险因素辨</w:t>
      </w:r>
      <w:r>
        <w:rPr>
          <w:color w:val="333333"/>
          <w:spacing w:val="-11"/>
        </w:rPr>
        <w:t>识与防范指导手册》有关内容，进一步深入开展风险分级管控与</w:t>
      </w:r>
      <w:r>
        <w:rPr>
          <w:color w:val="333333"/>
          <w:spacing w:val="-16"/>
        </w:rPr>
        <w:t>隐患排查治理两个体系建设，全面辨识分析粉尘爆炸风险，制定落实粉尘防爆管控措施。</w:t>
      </w:r>
    </w:p>
    <w:p>
      <w:pPr>
        <w:pStyle w:val="4"/>
        <w:spacing w:line="328" w:lineRule="auto"/>
        <w:ind w:left="986" w:right="1469" w:firstLine="482"/>
        <w:jc w:val="both"/>
      </w:pPr>
      <w:r>
        <w:rPr>
          <w:color w:val="333333"/>
        </w:rPr>
        <w:t>（三）要及时开展一次事故警示教育，用这起事故和乐陵市</w:t>
      </w:r>
      <w:r>
        <w:rPr>
          <w:color w:val="333333"/>
          <w:spacing w:val="-12"/>
        </w:rPr>
        <w:t xml:space="preserve">中谷淀粉有限公司 </w:t>
      </w:r>
      <w:r>
        <w:rPr>
          <w:color w:val="333333"/>
        </w:rPr>
        <w:t>2015</w:t>
      </w:r>
      <w:r>
        <w:rPr>
          <w:color w:val="333333"/>
          <w:spacing w:val="-67"/>
        </w:rPr>
        <w:t xml:space="preserve"> 年 </w:t>
      </w:r>
      <w:r>
        <w:rPr>
          <w:color w:val="333333"/>
        </w:rPr>
        <w:t>5</w:t>
      </w:r>
      <w:r>
        <w:rPr>
          <w:color w:val="333333"/>
          <w:spacing w:val="-68"/>
        </w:rPr>
        <w:t xml:space="preserve"> 月 </w:t>
      </w:r>
      <w:r>
        <w:rPr>
          <w:color w:val="333333"/>
        </w:rPr>
        <w:t>20</w:t>
      </w:r>
      <w:r>
        <w:rPr>
          <w:color w:val="333333"/>
          <w:spacing w:val="-11"/>
        </w:rPr>
        <w:t xml:space="preserve"> 日发生的清选斗提机顶部违规</w:t>
      </w:r>
      <w:r>
        <w:rPr>
          <w:color w:val="333333"/>
          <w:spacing w:val="6"/>
          <w:w w:val="95"/>
        </w:rPr>
        <w:t>电焊作业引发的粉尘爆炸事故以及国内外粉尘爆炸典型事故案</w:t>
      </w:r>
    </w:p>
    <w:p>
      <w:pPr>
        <w:spacing w:after="0" w:line="328" w:lineRule="auto"/>
        <w:jc w:val="both"/>
        <w:sectPr>
          <w:pgSz w:w="11910" w:h="16840"/>
          <w:pgMar w:top="1580" w:right="0" w:bottom="2120" w:left="600" w:header="0" w:footer="1929" w:gutter="0"/>
          <w:cols w:space="720" w:num="1"/>
        </w:sectPr>
      </w:pPr>
    </w:p>
    <w:p>
      <w:pPr>
        <w:pStyle w:val="4"/>
        <w:rPr>
          <w:sz w:val="20"/>
        </w:rPr>
      </w:pPr>
    </w:p>
    <w:p>
      <w:pPr>
        <w:pStyle w:val="4"/>
        <w:spacing w:before="11"/>
        <w:rPr>
          <w:sz w:val="24"/>
        </w:rPr>
      </w:pPr>
    </w:p>
    <w:p>
      <w:pPr>
        <w:pStyle w:val="4"/>
        <w:spacing w:before="54" w:line="328" w:lineRule="auto"/>
        <w:ind w:left="986" w:right="1471"/>
        <w:jc w:val="both"/>
      </w:pPr>
      <w:r>
        <w:rPr>
          <w:color w:val="333333"/>
          <w:spacing w:val="-11"/>
        </w:rPr>
        <w:t>例，结合省安监局印发的《工贸行业粉尘防爆、有限空间、冶金</w:t>
      </w:r>
      <w:r>
        <w:rPr>
          <w:color w:val="333333"/>
          <w:spacing w:val="-16"/>
        </w:rPr>
        <w:t>煤气和高温熔融金属作业安全培训参考教材》相关内容，广泛开</w:t>
      </w:r>
      <w:r>
        <w:rPr>
          <w:color w:val="333333"/>
          <w:spacing w:val="-15"/>
        </w:rPr>
        <w:t>展教育培训，切实提高企业对粉尘防爆工作重要性的认识，不断提升从业人员的粉尘防爆安全意识和安全操作技能。</w:t>
      </w:r>
    </w:p>
    <w:p>
      <w:pPr>
        <w:pStyle w:val="4"/>
        <w:spacing w:line="328" w:lineRule="auto"/>
        <w:ind w:left="986" w:right="1358" w:firstLine="460"/>
        <w:jc w:val="both"/>
      </w:pPr>
      <w:r>
        <w:rPr>
          <w:color w:val="333333"/>
        </w:rPr>
        <w:t>（四</w:t>
      </w:r>
      <w:r>
        <w:rPr>
          <w:color w:val="333333"/>
          <w:spacing w:val="-19"/>
        </w:rPr>
        <w:t>）</w:t>
      </w:r>
      <w:r>
        <w:rPr>
          <w:color w:val="333333"/>
          <w:spacing w:val="-10"/>
        </w:rPr>
        <w:t>各市、县</w:t>
      </w:r>
      <w:r>
        <w:rPr>
          <w:color w:val="333333"/>
        </w:rPr>
        <w:t>（</w:t>
      </w:r>
      <w:r>
        <w:rPr>
          <w:color w:val="333333"/>
          <w:spacing w:val="-7"/>
        </w:rPr>
        <w:t>市、区</w:t>
      </w:r>
      <w:r>
        <w:rPr>
          <w:color w:val="333333"/>
          <w:spacing w:val="-19"/>
        </w:rPr>
        <w:t>）</w:t>
      </w:r>
      <w:r>
        <w:rPr>
          <w:color w:val="333333"/>
          <w:spacing w:val="-9"/>
        </w:rPr>
        <w:t xml:space="preserve">安监局要按照今年 </w:t>
      </w:r>
      <w:r>
        <w:rPr>
          <w:color w:val="333333"/>
        </w:rPr>
        <w:t>5</w:t>
      </w:r>
      <w:r>
        <w:rPr>
          <w:color w:val="333333"/>
          <w:spacing w:val="-54"/>
        </w:rPr>
        <w:t xml:space="preserve"> 月 </w:t>
      </w:r>
      <w:r>
        <w:rPr>
          <w:color w:val="333333"/>
        </w:rPr>
        <w:t>31</w:t>
      </w:r>
      <w:r>
        <w:rPr>
          <w:color w:val="333333"/>
          <w:spacing w:val="-21"/>
        </w:rPr>
        <w:t xml:space="preserve"> 日召开</w:t>
      </w:r>
      <w:r>
        <w:rPr>
          <w:color w:val="333333"/>
          <w:spacing w:val="-25"/>
        </w:rPr>
        <w:t>的全省安全生产紧急电视会议精神和省安监局的统一部署，将粉</w:t>
      </w:r>
      <w:r>
        <w:rPr>
          <w:color w:val="333333"/>
          <w:spacing w:val="-28"/>
        </w:rPr>
        <w:t>尘防爆专项治理作为安全生产百日攻坚治理行动的重要内容，依</w:t>
      </w:r>
      <w:r>
        <w:rPr>
          <w:color w:val="333333"/>
          <w:spacing w:val="-11"/>
        </w:rPr>
        <w:t>据《关于深入开展工贸行业粉尘防爆、有限空间及金属冶炼安全</w:t>
      </w:r>
      <w:r>
        <w:rPr>
          <w:color w:val="333333"/>
          <w:spacing w:val="5"/>
        </w:rPr>
        <w:t>专项治理工作的通知》</w:t>
      </w:r>
      <w:r>
        <w:rPr>
          <w:color w:val="333333"/>
          <w:spacing w:val="7"/>
        </w:rPr>
        <w:t>（</w:t>
      </w:r>
      <w:r>
        <w:rPr>
          <w:color w:val="333333"/>
          <w:spacing w:val="5"/>
        </w:rPr>
        <w:t>鲁安办发〔</w:t>
      </w:r>
      <w:r>
        <w:rPr>
          <w:color w:val="333333"/>
        </w:rPr>
        <w:t>2017</w:t>
      </w:r>
      <w:r>
        <w:rPr>
          <w:color w:val="333333"/>
          <w:spacing w:val="5"/>
        </w:rPr>
        <w:t>〕</w:t>
      </w:r>
      <w:r>
        <w:rPr>
          <w:color w:val="333333"/>
        </w:rPr>
        <w:t>22</w:t>
      </w:r>
      <w:r>
        <w:rPr>
          <w:color w:val="333333"/>
          <w:spacing w:val="-39"/>
        </w:rPr>
        <w:t xml:space="preserve"> 号</w:t>
      </w:r>
      <w:r>
        <w:rPr>
          <w:color w:val="333333"/>
          <w:spacing w:val="7"/>
        </w:rPr>
        <w:t>）</w:t>
      </w:r>
      <w:r>
        <w:rPr>
          <w:color w:val="333333"/>
          <w:spacing w:val="4"/>
        </w:rPr>
        <w:t>、《关于认</w:t>
      </w:r>
      <w:r>
        <w:rPr>
          <w:color w:val="333333"/>
          <w:spacing w:val="-3"/>
        </w:rPr>
        <w:t>真落实国家安全监管总局明察暗访聊城市、滨州市粉尘防爆专项</w:t>
      </w:r>
      <w:r>
        <w:rPr>
          <w:color w:val="333333"/>
          <w:spacing w:val="5"/>
        </w:rPr>
        <w:t>整治工作情况通报的通知》（鲁安监发〔</w:t>
      </w:r>
      <w:r>
        <w:rPr>
          <w:color w:val="333333"/>
        </w:rPr>
        <w:t>2017</w:t>
      </w:r>
      <w:r>
        <w:rPr>
          <w:color w:val="333333"/>
          <w:spacing w:val="7"/>
        </w:rPr>
        <w:t>〕</w:t>
      </w:r>
      <w:r>
        <w:rPr>
          <w:color w:val="333333"/>
        </w:rPr>
        <w:t>53</w:t>
      </w:r>
      <w:r>
        <w:rPr>
          <w:color w:val="333333"/>
          <w:spacing w:val="-40"/>
        </w:rPr>
        <w:t xml:space="preserve"> 号</w:t>
      </w:r>
      <w:r>
        <w:rPr>
          <w:color w:val="333333"/>
          <w:spacing w:val="7"/>
        </w:rPr>
        <w:t>）</w:t>
      </w:r>
      <w:r>
        <w:rPr>
          <w:color w:val="333333"/>
          <w:spacing w:val="4"/>
        </w:rPr>
        <w:t xml:space="preserve">要求， </w:t>
      </w:r>
      <w:r>
        <w:rPr>
          <w:color w:val="333333"/>
          <w:spacing w:val="4"/>
          <w:w w:val="95"/>
        </w:rPr>
        <w:t>认真组织开展粉尘防爆专项治理，严密防范粉尘爆炸事故发生。</w:t>
      </w:r>
    </w:p>
    <w:p>
      <w:pPr>
        <w:pStyle w:val="4"/>
        <w:spacing w:line="397" w:lineRule="exact"/>
        <w:ind w:left="998" w:right="732"/>
        <w:jc w:val="center"/>
      </w:pPr>
      <w:r>
        <w:rPr>
          <w:color w:val="333333"/>
          <w:w w:val="95"/>
        </w:rPr>
        <w:t>请将本通报迅速转发至各级安监部门和所有涉爆粉尘企业，</w:t>
      </w:r>
    </w:p>
    <w:p>
      <w:pPr>
        <w:pStyle w:val="4"/>
        <w:spacing w:before="142"/>
        <w:ind w:left="969" w:right="7420"/>
        <w:jc w:val="center"/>
      </w:pPr>
      <w:r>
        <w:rPr>
          <w:color w:val="333333"/>
        </w:rPr>
        <w:t>认真抓好贯彻落实。</w:t>
      </w:r>
    </w:p>
    <w:p>
      <w:pPr>
        <w:pStyle w:val="4"/>
        <w:spacing w:before="149"/>
        <w:ind w:left="998" w:right="4888"/>
        <w:jc w:val="center"/>
      </w:pPr>
      <w:r>
        <w:rPr>
          <w:color w:val="333333"/>
        </w:rPr>
        <w:t>附件：爆炸传播轨迹示意简图</w:t>
      </w:r>
    </w:p>
    <w:p>
      <w:pPr>
        <w:pStyle w:val="4"/>
      </w:pPr>
    </w:p>
    <w:p>
      <w:pPr>
        <w:pStyle w:val="4"/>
      </w:pPr>
    </w:p>
    <w:p>
      <w:pPr>
        <w:pStyle w:val="4"/>
        <w:spacing w:before="2"/>
        <w:rPr>
          <w:sz w:val="35"/>
        </w:rPr>
      </w:pPr>
    </w:p>
    <w:p>
      <w:pPr>
        <w:pStyle w:val="4"/>
        <w:ind w:left="998" w:right="410"/>
        <w:jc w:val="center"/>
      </w:pPr>
      <w:r>
        <w:rPr>
          <w:color w:val="333333"/>
        </w:rPr>
        <w:t>山东省安全生产监督管理局</w:t>
      </w:r>
    </w:p>
    <w:p>
      <w:pPr>
        <w:pStyle w:val="4"/>
        <w:spacing w:before="151"/>
        <w:ind w:left="4058" w:right="1471"/>
        <w:jc w:val="center"/>
      </w:pPr>
      <w:r>
        <w:rPr>
          <w:color w:val="333333"/>
        </w:rPr>
        <w:t>2017</w:t>
      </w:r>
      <w:r>
        <w:rPr>
          <w:color w:val="333333"/>
          <w:spacing w:val="-54"/>
        </w:rPr>
        <w:t xml:space="preserve"> 年 </w:t>
      </w:r>
      <w:r>
        <w:rPr>
          <w:color w:val="333333"/>
        </w:rPr>
        <w:t>6</w:t>
      </w:r>
      <w:r>
        <w:rPr>
          <w:color w:val="333333"/>
          <w:spacing w:val="-53"/>
        </w:rPr>
        <w:t xml:space="preserve"> 月 </w:t>
      </w:r>
      <w:r>
        <w:rPr>
          <w:color w:val="333333"/>
        </w:rPr>
        <w:t>9</w:t>
      </w:r>
      <w:r>
        <w:rPr>
          <w:color w:val="333333"/>
          <w:spacing w:val="-40"/>
        </w:rPr>
        <w:t xml:space="preserve"> 日</w:t>
      </w:r>
    </w:p>
    <w:p>
      <w:pPr>
        <w:spacing w:after="0"/>
        <w:jc w:val="center"/>
        <w:sectPr>
          <w:pgSz w:w="11910" w:h="16840"/>
          <w:pgMar w:top="1580" w:right="0" w:bottom="2120" w:left="600" w:header="0" w:footer="1929" w:gutter="0"/>
          <w:cols w:space="720" w:num="1"/>
        </w:sectPr>
      </w:pPr>
    </w:p>
    <w:p>
      <w:pPr>
        <w:pStyle w:val="4"/>
        <w:rPr>
          <w:sz w:val="20"/>
        </w:rPr>
      </w:pPr>
      <w:r>
        <w:drawing>
          <wp:anchor distT="0" distB="0" distL="0" distR="0" simplePos="0" relativeHeight="251661312" behindDoc="0" locked="0" layoutInCell="1" allowOverlap="1">
            <wp:simplePos x="0" y="0"/>
            <wp:positionH relativeFrom="page">
              <wp:posOffset>3839845</wp:posOffset>
            </wp:positionH>
            <wp:positionV relativeFrom="page">
              <wp:posOffset>6705600</wp:posOffset>
            </wp:positionV>
            <wp:extent cx="3720465" cy="3238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stretch>
                      <a:fillRect/>
                    </a:stretch>
                  </pic:blipFill>
                  <pic:spPr>
                    <a:xfrm>
                      <a:off x="0" y="0"/>
                      <a:ext cx="3720337" cy="32173"/>
                    </a:xfrm>
                    <a:prstGeom prst="rect">
                      <a:avLst/>
                    </a:prstGeom>
                  </pic:spPr>
                </pic:pic>
              </a:graphicData>
            </a:graphic>
          </wp:anchor>
        </w:drawing>
      </w:r>
    </w:p>
    <w:p>
      <w:pPr>
        <w:pStyle w:val="4"/>
        <w:spacing w:before="5"/>
        <w:rPr>
          <w:sz w:val="25"/>
        </w:rPr>
      </w:pPr>
    </w:p>
    <w:p>
      <w:pPr>
        <w:pStyle w:val="4"/>
        <w:spacing w:before="55"/>
        <w:ind w:left="986"/>
        <w:rPr>
          <w:rFonts w:hint="eastAsia" w:ascii="黑体" w:eastAsia="黑体"/>
        </w:rPr>
      </w:pPr>
      <w:r>
        <w:rPr>
          <w:rFonts w:hint="eastAsia" w:ascii="黑体" w:eastAsia="黑体"/>
        </w:rPr>
        <w:t>附件</w:t>
      </w:r>
    </w:p>
    <w:p>
      <w:pPr>
        <w:pStyle w:val="4"/>
        <w:spacing w:before="4"/>
        <w:rPr>
          <w:rFonts w:ascii="黑体"/>
          <w:sz w:val="29"/>
        </w:rPr>
      </w:pPr>
      <w:r>
        <w:drawing>
          <wp:anchor distT="0" distB="0" distL="0" distR="0" simplePos="0" relativeHeight="251659264" behindDoc="0" locked="0" layoutInCell="1" allowOverlap="1">
            <wp:simplePos x="0" y="0"/>
            <wp:positionH relativeFrom="page">
              <wp:posOffset>454025</wp:posOffset>
            </wp:positionH>
            <wp:positionV relativeFrom="paragraph">
              <wp:posOffset>263525</wp:posOffset>
            </wp:positionV>
            <wp:extent cx="6913245" cy="44545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6913203" cy="4454271"/>
                    </a:xfrm>
                    <a:prstGeom prst="rect">
                      <a:avLst/>
                    </a:prstGeom>
                  </pic:spPr>
                </pic:pic>
              </a:graphicData>
            </a:graphic>
          </wp:anchor>
        </w:drawing>
      </w:r>
    </w:p>
    <w:p>
      <w:pPr>
        <w:pStyle w:val="4"/>
        <w:rPr>
          <w:rFonts w:ascii="黑体"/>
          <w:sz w:val="20"/>
        </w:rPr>
      </w:pPr>
    </w:p>
    <w:p>
      <w:pPr>
        <w:pStyle w:val="4"/>
        <w:rPr>
          <w:rFonts w:ascii="黑体"/>
          <w:sz w:val="20"/>
        </w:rPr>
      </w:pPr>
    </w:p>
    <w:p>
      <w:pPr>
        <w:pStyle w:val="4"/>
        <w:rPr>
          <w:rFonts w:ascii="黑体"/>
          <w:sz w:val="20"/>
        </w:rPr>
      </w:pPr>
    </w:p>
    <w:p>
      <w:pPr>
        <w:pStyle w:val="4"/>
        <w:spacing w:before="11"/>
        <w:rPr>
          <w:rFonts w:ascii="黑体"/>
          <w:sz w:val="16"/>
        </w:rPr>
      </w:pPr>
      <w:r>
        <w:drawing>
          <wp:anchor distT="0" distB="0" distL="0" distR="0" simplePos="0" relativeHeight="251659264" behindDoc="0" locked="0" layoutInCell="1" allowOverlap="1">
            <wp:simplePos x="0" y="0"/>
            <wp:positionH relativeFrom="page">
              <wp:posOffset>1401445</wp:posOffset>
            </wp:positionH>
            <wp:positionV relativeFrom="paragraph">
              <wp:posOffset>161925</wp:posOffset>
            </wp:positionV>
            <wp:extent cx="5077460" cy="3873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9" cstate="print"/>
                    <a:stretch>
                      <a:fillRect/>
                    </a:stretch>
                  </pic:blipFill>
                  <pic:spPr>
                    <a:xfrm>
                      <a:off x="0" y="0"/>
                      <a:ext cx="5077569" cy="39052"/>
                    </a:xfrm>
                    <a:prstGeom prst="rect">
                      <a:avLst/>
                    </a:prstGeom>
                  </pic:spPr>
                </pic:pic>
              </a:graphicData>
            </a:graphic>
          </wp:anchor>
        </w:drawing>
      </w:r>
    </w:p>
    <w:sectPr>
      <w:pgSz w:w="11910" w:h="16840"/>
      <w:pgMar w:top="1580" w:right="0" w:bottom="2120" w:left="600" w:header="0" w:footer="19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6167120</wp:posOffset>
              </wp:positionH>
              <wp:positionV relativeFrom="page">
                <wp:posOffset>9327515</wp:posOffset>
              </wp:positionV>
              <wp:extent cx="46990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5.6pt;margin-top:734.45pt;height:16.05pt;width:37pt;mso-position-horizontal-relative:page;mso-position-vertical-relative:page;z-index:-251656192;mso-width-relative:page;mso-height-relative:page;" filled="f" stroked="f" coordsize="21600,21600" o:gfxdata="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Yu7u3AAAAA4BAAAPAAAAAAAAAAEAIAAAACIAAABkcnMvZG93bnJldi54bWxQ&#10;SwECFAAUAAAACACHTuJAYofig7oBAABxAwAADgAAAAAAAAABACAAAAArAQAAZHJzL2Uyb0RvYy54&#10;bWxQSwUGAAAAAAYABgBZAQAAVw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08141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4"/>
      <w:ind w:left="991" w:right="1471"/>
      <w:jc w:val="center"/>
      <w:outlineLvl w:val="1"/>
    </w:pPr>
    <w:rPr>
      <w:rFonts w:ascii="黑体" w:hAnsi="黑体" w:eastAsia="黑体" w:cs="黑体"/>
      <w:b/>
      <w:bCs/>
      <w:sz w:val="44"/>
      <w:szCs w:val="44"/>
      <w:lang w:val="zh-CN" w:eastAsia="zh-CN" w:bidi="zh-CN"/>
    </w:rPr>
  </w:style>
  <w:style w:type="paragraph" w:styleId="3">
    <w:name w:val="heading 2"/>
    <w:basedOn w:val="1"/>
    <w:next w:val="1"/>
    <w:qFormat/>
    <w:uiPriority w:val="1"/>
    <w:pPr>
      <w:spacing w:line="646" w:lineRule="exact"/>
      <w:ind w:left="984" w:right="1471"/>
      <w:jc w:val="center"/>
      <w:outlineLvl w:val="2"/>
    </w:pPr>
    <w:rPr>
      <w:rFonts w:ascii="方正小标宋简体" w:hAnsi="方正小标宋简体" w:eastAsia="方正小标宋简体" w:cs="方正小标宋简体"/>
      <w:sz w:val="44"/>
      <w:szCs w:val="4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2022-11-16T06:44:00Z</dcterms:created>
  <dc:creator>hp</dc:creator>
  <cp:lastModifiedBy>俄料</cp:lastModifiedBy>
  <dcterms:modified xsi:type="dcterms:W3CDTF">2022-11-16T07:32:29Z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WPS Office</vt:lpwstr>
  </property>
  <property fmtid="{D5CDD505-2E9C-101B-9397-08002B2CF9AE}" pid="4" name="LastSaved">
    <vt:filetime>2022-11-16T00:00:00Z</vt:filetime>
  </property>
  <property fmtid="{D5CDD505-2E9C-101B-9397-08002B2CF9AE}" pid="5" name="KSOProductBuildVer">
    <vt:lpwstr>2052-11.1.0.13607</vt:lpwstr>
  </property>
  <property fmtid="{D5CDD505-2E9C-101B-9397-08002B2CF9AE}" pid="6" name="ICV">
    <vt:lpwstr>C3A03F30E2054049B99C12DDE9931425</vt:lpwstr>
  </property>
</Properties>
</file>